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87" w:rsidRPr="006E5010" w:rsidRDefault="007D5587" w:rsidP="00395D5B">
      <w:pPr>
        <w:ind w:firstLine="709"/>
        <w:jc w:val="center"/>
        <w:rPr>
          <w:rFonts w:ascii="Times New Roman" w:hAnsi="Times New Roman"/>
          <w:b/>
          <w:sz w:val="28"/>
          <w:szCs w:val="28"/>
        </w:rPr>
      </w:pPr>
      <w:r w:rsidRPr="006E5010">
        <w:rPr>
          <w:rFonts w:ascii="Times New Roman" w:hAnsi="Times New Roman"/>
          <w:b/>
          <w:sz w:val="28"/>
          <w:szCs w:val="28"/>
        </w:rPr>
        <w:t>АДМИНИСТРАЦИЯ</w:t>
      </w:r>
    </w:p>
    <w:p w:rsidR="007D5587" w:rsidRPr="006E5010" w:rsidRDefault="006E5010" w:rsidP="00395D5B">
      <w:pPr>
        <w:ind w:firstLine="709"/>
        <w:jc w:val="center"/>
        <w:rPr>
          <w:rFonts w:ascii="Times New Roman" w:hAnsi="Times New Roman"/>
          <w:b/>
          <w:sz w:val="28"/>
          <w:szCs w:val="28"/>
        </w:rPr>
      </w:pPr>
      <w:r w:rsidRPr="006E5010">
        <w:rPr>
          <w:rFonts w:ascii="Times New Roman" w:hAnsi="Times New Roman"/>
          <w:b/>
          <w:sz w:val="28"/>
          <w:szCs w:val="28"/>
        </w:rPr>
        <w:t>БОЛЬШЕАЛАБУХСКОГО</w:t>
      </w:r>
      <w:r w:rsidR="007D5587" w:rsidRPr="006E5010">
        <w:rPr>
          <w:rFonts w:ascii="Times New Roman" w:hAnsi="Times New Roman"/>
          <w:b/>
          <w:sz w:val="28"/>
          <w:szCs w:val="28"/>
        </w:rPr>
        <w:t xml:space="preserve"> СЕЛЬСКОГО ПОСЕЛЕНИЯ</w:t>
      </w:r>
    </w:p>
    <w:p w:rsidR="007D5587" w:rsidRPr="006E5010" w:rsidRDefault="007D5587" w:rsidP="00395D5B">
      <w:pPr>
        <w:ind w:firstLine="709"/>
        <w:jc w:val="center"/>
        <w:rPr>
          <w:rFonts w:ascii="Times New Roman" w:hAnsi="Times New Roman"/>
          <w:b/>
          <w:sz w:val="28"/>
          <w:szCs w:val="28"/>
        </w:rPr>
      </w:pPr>
      <w:r w:rsidRPr="006E5010">
        <w:rPr>
          <w:rFonts w:ascii="Times New Roman" w:hAnsi="Times New Roman"/>
          <w:b/>
          <w:sz w:val="28"/>
          <w:szCs w:val="28"/>
        </w:rPr>
        <w:t>ГРИБАНОВСКОГО МУНИЦИПАЛЬНОГО РАЙОНА</w:t>
      </w:r>
    </w:p>
    <w:p w:rsidR="007D5587" w:rsidRPr="006E5010" w:rsidRDefault="007D5587" w:rsidP="00395D5B">
      <w:pPr>
        <w:ind w:firstLine="709"/>
        <w:jc w:val="center"/>
        <w:rPr>
          <w:rFonts w:ascii="Times New Roman" w:hAnsi="Times New Roman"/>
          <w:b/>
          <w:sz w:val="28"/>
          <w:szCs w:val="28"/>
        </w:rPr>
      </w:pPr>
      <w:r w:rsidRPr="006E5010">
        <w:rPr>
          <w:rFonts w:ascii="Times New Roman" w:hAnsi="Times New Roman"/>
          <w:b/>
          <w:sz w:val="28"/>
          <w:szCs w:val="28"/>
        </w:rPr>
        <w:t>ВОРОНЕЖСКОЙ ОБЛАСТИ</w:t>
      </w:r>
    </w:p>
    <w:p w:rsidR="007D5587" w:rsidRPr="006E5010" w:rsidRDefault="007D5587" w:rsidP="00395D5B">
      <w:pPr>
        <w:ind w:firstLine="709"/>
        <w:jc w:val="center"/>
        <w:rPr>
          <w:rFonts w:ascii="Times New Roman" w:hAnsi="Times New Roman"/>
          <w:b/>
          <w:sz w:val="28"/>
          <w:szCs w:val="28"/>
        </w:rPr>
      </w:pPr>
    </w:p>
    <w:p w:rsidR="007D5587" w:rsidRPr="006E5010" w:rsidRDefault="007D5587" w:rsidP="00395D5B">
      <w:pPr>
        <w:ind w:firstLine="709"/>
        <w:jc w:val="center"/>
        <w:rPr>
          <w:rFonts w:ascii="Times New Roman" w:hAnsi="Times New Roman"/>
          <w:b/>
          <w:sz w:val="28"/>
          <w:szCs w:val="28"/>
        </w:rPr>
      </w:pPr>
      <w:r w:rsidRPr="006E5010">
        <w:rPr>
          <w:rFonts w:ascii="Times New Roman" w:hAnsi="Times New Roman"/>
          <w:b/>
          <w:sz w:val="28"/>
          <w:szCs w:val="28"/>
        </w:rPr>
        <w:t>ПОСТАНОВЛЕНИЕ</w:t>
      </w:r>
    </w:p>
    <w:p w:rsidR="007D5587" w:rsidRPr="006E5010" w:rsidRDefault="007D5587" w:rsidP="00395D5B">
      <w:pPr>
        <w:widowControl w:val="0"/>
        <w:autoSpaceDE w:val="0"/>
        <w:autoSpaceDN w:val="0"/>
        <w:adjustRightInd w:val="0"/>
        <w:ind w:firstLine="709"/>
        <w:rPr>
          <w:rFonts w:ascii="Times New Roman" w:hAnsi="Times New Roman"/>
          <w:b/>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6E5010" w:rsidRDefault="006E5010" w:rsidP="00395D5B">
      <w:pPr>
        <w:ind w:firstLine="709"/>
        <w:rPr>
          <w:rFonts w:ascii="Times New Roman" w:hAnsi="Times New Roman"/>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proofErr w:type="spellStart"/>
      <w:r w:rsidR="006E5010" w:rsidRPr="006E5010">
        <w:rPr>
          <w:rFonts w:ascii="Times New Roman" w:eastAsia="Arial Unicode MS" w:hAnsi="Times New Roman" w:cs="Times New Roman"/>
          <w:b w:val="0"/>
          <w:sz w:val="28"/>
          <w:szCs w:val="28"/>
          <w:lang w:bidi="ru-RU"/>
        </w:rPr>
        <w:t>Большеалабухского</w:t>
      </w:r>
      <w:proofErr w:type="spellEnd"/>
      <w:r w:rsidR="006E5010" w:rsidRPr="006E5010">
        <w:rPr>
          <w:rFonts w:ascii="Times New Roman" w:eastAsia="Arial Unicode MS" w:hAnsi="Times New Roman" w:cs="Times New Roman"/>
          <w:b w:val="0"/>
          <w:sz w:val="28"/>
          <w:szCs w:val="28"/>
          <w:lang w:bidi="ru-RU"/>
        </w:rPr>
        <w:t xml:space="preserve"> </w:t>
      </w:r>
      <w:r w:rsidR="007D5587" w:rsidRPr="00395D5B">
        <w:rPr>
          <w:rFonts w:ascii="Times New Roman" w:eastAsia="Arial Unicode MS" w:hAnsi="Times New Roman" w:cs="Times New Roman"/>
          <w:b w:val="0"/>
          <w:sz w:val="28"/>
          <w:szCs w:val="28"/>
          <w:lang w:bidi="ru-RU"/>
        </w:rPr>
        <w:t>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E5010" w:rsidRPr="006E5010">
        <w:t>Большеалабухского</w:t>
      </w:r>
      <w:proofErr w:type="spellEnd"/>
      <w:r w:rsidR="006E5010" w:rsidRPr="006E5010">
        <w:t xml:space="preserve"> </w:t>
      </w:r>
      <w:r w:rsidR="007D5587" w:rsidRPr="00395D5B">
        <w:t xml:space="preserve">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proofErr w:type="spellStart"/>
      <w:r w:rsidR="006E5010" w:rsidRPr="006E5010">
        <w:rPr>
          <w:rFonts w:ascii="Times New Roman" w:hAnsi="Times New Roman"/>
          <w:sz w:val="28"/>
          <w:szCs w:val="28"/>
        </w:rPr>
        <w:t>Большеалабухского</w:t>
      </w:r>
      <w:proofErr w:type="spellEnd"/>
      <w:r w:rsidR="006E5010" w:rsidRPr="006E5010">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proofErr w:type="spellStart"/>
      <w:r w:rsidR="006E5010" w:rsidRPr="006E5010">
        <w:rPr>
          <w:rFonts w:ascii="Times New Roman" w:hAnsi="Times New Roman"/>
          <w:sz w:val="28"/>
          <w:szCs w:val="28"/>
        </w:rPr>
        <w:t>Большеалабухского</w:t>
      </w:r>
      <w:proofErr w:type="spellEnd"/>
      <w:r w:rsidR="006E5010" w:rsidRPr="006E5010">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6E5010">
        <w:rPr>
          <w:rFonts w:ascii="Times New Roman" w:hAnsi="Times New Roman" w:cs="Times New Roman"/>
          <w:b w:val="0"/>
          <w:sz w:val="28"/>
          <w:szCs w:val="28"/>
        </w:rPr>
        <w:t>09.11.</w:t>
      </w:r>
      <w:r w:rsidR="007D5587" w:rsidRPr="00395D5B">
        <w:rPr>
          <w:rFonts w:ascii="Times New Roman" w:hAnsi="Times New Roman" w:cs="Times New Roman"/>
          <w:b w:val="0"/>
          <w:sz w:val="28"/>
          <w:szCs w:val="28"/>
        </w:rPr>
        <w:t>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6E5010">
        <w:rPr>
          <w:rFonts w:ascii="Times New Roman" w:hAnsi="Times New Roman" w:cs="Times New Roman"/>
          <w:b w:val="0"/>
          <w:sz w:val="28"/>
          <w:szCs w:val="28"/>
        </w:rPr>
        <w:t>73</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w:t>
      </w:r>
      <w:proofErr w:type="gramStart"/>
      <w:r w:rsidR="007D5587" w:rsidRPr="00395D5B">
        <w:rPr>
          <w:rFonts w:ascii="Times New Roman" w:eastAsia="SimSun" w:hAnsi="Times New Roman" w:cs="Times New Roman"/>
          <w:b w:val="0"/>
          <w:kern w:val="1"/>
          <w:sz w:val="28"/>
          <w:szCs w:val="28"/>
          <w:lang w:eastAsia="hi-IN" w:bidi="hi-IN"/>
        </w:rPr>
        <w:t>административного</w:t>
      </w:r>
      <w:proofErr w:type="gramEnd"/>
      <w:r w:rsidR="007D5587" w:rsidRPr="00395D5B">
        <w:rPr>
          <w:rFonts w:ascii="Times New Roman" w:eastAsia="SimSun" w:hAnsi="Times New Roman" w:cs="Times New Roman"/>
          <w:b w:val="0"/>
          <w:kern w:val="1"/>
          <w:sz w:val="28"/>
          <w:szCs w:val="28"/>
          <w:lang w:eastAsia="hi-IN" w:bidi="hi-IN"/>
        </w:rPr>
        <w:t xml:space="preserve">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proofErr w:type="spellStart"/>
      <w:r w:rsidR="006E5010" w:rsidRPr="006E5010">
        <w:rPr>
          <w:rFonts w:ascii="Times New Roman" w:eastAsia="SimSun" w:hAnsi="Times New Roman" w:cs="Times New Roman"/>
          <w:b w:val="0"/>
          <w:kern w:val="1"/>
          <w:sz w:val="28"/>
          <w:szCs w:val="28"/>
          <w:lang w:eastAsia="hi-IN" w:bidi="hi-IN"/>
        </w:rPr>
        <w:t>Большеалабухского</w:t>
      </w:r>
      <w:proofErr w:type="spellEnd"/>
      <w:r w:rsidR="006E5010" w:rsidRPr="006E5010">
        <w:rPr>
          <w:rFonts w:ascii="Times New Roman" w:eastAsia="SimSun" w:hAnsi="Times New Roman" w:cs="Times New Roman"/>
          <w:b w:val="0"/>
          <w:kern w:val="1"/>
          <w:sz w:val="28"/>
          <w:szCs w:val="28"/>
          <w:lang w:eastAsia="hi-IN" w:bidi="hi-IN"/>
        </w:rPr>
        <w:t xml:space="preserve"> </w:t>
      </w:r>
      <w:r w:rsidRPr="00395D5B">
        <w:rPr>
          <w:rFonts w:ascii="Times New Roman" w:eastAsia="SimSun" w:hAnsi="Times New Roman" w:cs="Times New Roman"/>
          <w:b w:val="0"/>
          <w:kern w:val="1"/>
          <w:sz w:val="28"/>
          <w:szCs w:val="28"/>
          <w:lang w:eastAsia="hi-IN" w:bidi="hi-IN"/>
        </w:rPr>
        <w:t xml:space="preserve">сельского поселения по предоставлению муниципальной услуги «Предварительное согласование предоставления земельного участка, находящегося </w:t>
      </w:r>
      <w:proofErr w:type="gramStart"/>
      <w:r w:rsidRPr="00395D5B">
        <w:rPr>
          <w:rFonts w:ascii="Times New Roman" w:eastAsia="SimSun" w:hAnsi="Times New Roman" w:cs="Times New Roman"/>
          <w:b w:val="0"/>
          <w:kern w:val="1"/>
          <w:sz w:val="28"/>
          <w:szCs w:val="28"/>
          <w:lang w:eastAsia="hi-IN" w:bidi="hi-IN"/>
        </w:rPr>
        <w:t>в</w:t>
      </w:r>
      <w:proofErr w:type="gramEnd"/>
      <w:r w:rsidRPr="00395D5B">
        <w:rPr>
          <w:rFonts w:ascii="Times New Roman" w:eastAsia="SimSun" w:hAnsi="Times New Roman" w:cs="Times New Roman"/>
          <w:b w:val="0"/>
          <w:kern w:val="1"/>
          <w:sz w:val="28"/>
          <w:szCs w:val="28"/>
          <w:lang w:eastAsia="hi-IN" w:bidi="hi-IN"/>
        </w:rPr>
        <w:t xml:space="preserve"> муниципальной </w:t>
      </w:r>
      <w:r w:rsidRPr="00395D5B">
        <w:rPr>
          <w:rFonts w:ascii="Times New Roman" w:eastAsia="SimSun" w:hAnsi="Times New Roman" w:cs="Times New Roman"/>
          <w:b w:val="0"/>
          <w:kern w:val="1"/>
          <w:sz w:val="28"/>
          <w:szCs w:val="28"/>
          <w:lang w:eastAsia="hi-IN" w:bidi="hi-IN"/>
        </w:rPr>
        <w:lastRenderedPageBreak/>
        <w:t xml:space="preserve">собственности или государственная </w:t>
      </w:r>
      <w:proofErr w:type="gramStart"/>
      <w:r w:rsidRPr="00395D5B">
        <w:rPr>
          <w:rFonts w:ascii="Times New Roman" w:eastAsia="SimSun" w:hAnsi="Times New Roman" w:cs="Times New Roman"/>
          <w:b w:val="0"/>
          <w:kern w:val="1"/>
          <w:sz w:val="28"/>
          <w:szCs w:val="28"/>
          <w:lang w:eastAsia="hi-IN" w:bidi="hi-IN"/>
        </w:rPr>
        <w:t>собственность</w:t>
      </w:r>
      <w:proofErr w:type="gramEnd"/>
      <w:r w:rsidRPr="00395D5B">
        <w:rPr>
          <w:rFonts w:ascii="Times New Roman" w:eastAsia="SimSun" w:hAnsi="Times New Roman" w:cs="Times New Roman"/>
          <w:b w:val="0"/>
          <w:kern w:val="1"/>
          <w:sz w:val="28"/>
          <w:szCs w:val="28"/>
          <w:lang w:eastAsia="hi-IN" w:bidi="hi-IN"/>
        </w:rPr>
        <w:t xml:space="preserve"> на который не разграничена»</w:t>
      </w:r>
      <w:r w:rsidR="00A71FC9" w:rsidRPr="00395D5B">
        <w:rPr>
          <w:rFonts w:ascii="Times New Roman" w:hAnsi="Times New Roman" w:cs="Times New Roman"/>
          <w:b w:val="0"/>
          <w:sz w:val="28"/>
          <w:szCs w:val="28"/>
        </w:rPr>
        <w:t>»;</w:t>
      </w:r>
    </w:p>
    <w:p w:rsidR="00A71FC9" w:rsidRPr="00395D5B" w:rsidRDefault="006E5010"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28.01.</w:t>
      </w:r>
      <w:r w:rsidR="007D5587" w:rsidRPr="00395D5B">
        <w:rPr>
          <w:rFonts w:ascii="Times New Roman" w:hAnsi="Times New Roman" w:cs="Times New Roman"/>
          <w:b w:val="0"/>
          <w:sz w:val="28"/>
          <w:szCs w:val="28"/>
        </w:rPr>
        <w:t xml:space="preserve">2016 </w:t>
      </w:r>
      <w:r>
        <w:rPr>
          <w:rFonts w:ascii="Times New Roman" w:hAnsi="Times New Roman" w:cs="Times New Roman"/>
          <w:b w:val="0"/>
          <w:sz w:val="28"/>
          <w:szCs w:val="28"/>
        </w:rPr>
        <w:t>г. № 12</w:t>
      </w:r>
      <w:r w:rsidR="00A71FC9"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proofErr w:type="spellStart"/>
      <w:r w:rsidRPr="006E5010">
        <w:rPr>
          <w:rFonts w:ascii="Times New Roman" w:hAnsi="Times New Roman" w:cs="Times New Roman"/>
          <w:b w:val="0"/>
          <w:sz w:val="28"/>
          <w:szCs w:val="28"/>
        </w:rPr>
        <w:t>Большеалабухского</w:t>
      </w:r>
      <w:proofErr w:type="spellEnd"/>
      <w:r w:rsidRPr="006E5010">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6E5010" w:rsidP="00395D5B">
      <w:pPr>
        <w:pStyle w:val="Title"/>
        <w:spacing w:before="0" w:after="0"/>
        <w:ind w:firstLine="709"/>
        <w:jc w:val="both"/>
        <w:rPr>
          <w:rFonts w:ascii="Times New Roman" w:eastAsia="SimSun" w:hAnsi="Times New Roman" w:cs="Times New Roman"/>
          <w:b w:val="0"/>
          <w:kern w:val="2"/>
          <w:sz w:val="28"/>
          <w:szCs w:val="28"/>
          <w:lang w:eastAsia="hi-IN" w:bidi="hi-IN"/>
        </w:rPr>
      </w:pPr>
      <w:r>
        <w:rPr>
          <w:rFonts w:ascii="Times New Roman" w:hAnsi="Times New Roman" w:cs="Times New Roman"/>
          <w:b w:val="0"/>
          <w:sz w:val="28"/>
          <w:szCs w:val="28"/>
        </w:rPr>
        <w:t>- от 25.11.2016 г. № 82</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proofErr w:type="spellStart"/>
      <w:r w:rsidRPr="006E5010">
        <w:rPr>
          <w:rFonts w:ascii="Times New Roman" w:hAnsi="Times New Roman" w:cs="Times New Roman"/>
          <w:b w:val="0"/>
          <w:sz w:val="28"/>
          <w:szCs w:val="28"/>
        </w:rPr>
        <w:t>Большеалабухского</w:t>
      </w:r>
      <w:proofErr w:type="spellEnd"/>
      <w:r w:rsidRPr="006E5010">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09.11.</w:t>
      </w:r>
      <w:r w:rsidR="00EB73E6" w:rsidRPr="00395D5B">
        <w:rPr>
          <w:rFonts w:ascii="Times New Roman" w:hAnsi="Times New Roman" w:cs="Times New Roman"/>
          <w:b w:val="0"/>
          <w:sz w:val="28"/>
          <w:szCs w:val="28"/>
        </w:rPr>
        <w:t xml:space="preserve">2015 г. № </w:t>
      </w:r>
      <w:r>
        <w:rPr>
          <w:rFonts w:ascii="Times New Roman" w:hAnsi="Times New Roman" w:cs="Times New Roman"/>
          <w:b w:val="0"/>
          <w:sz w:val="28"/>
          <w:szCs w:val="28"/>
        </w:rPr>
        <w:t>73</w:t>
      </w:r>
      <w:r w:rsidR="00EB73E6" w:rsidRPr="00395D5B">
        <w:rPr>
          <w:rFonts w:ascii="Times New Roman" w:hAnsi="Times New Roman" w:cs="Times New Roman"/>
          <w:b w:val="0"/>
          <w:sz w:val="28"/>
          <w:szCs w:val="28"/>
        </w:rPr>
        <w:t xml:space="preserve"> «</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sidRPr="006E5010">
        <w:rPr>
          <w:rFonts w:ascii="Times New Roman" w:eastAsia="SimSun" w:hAnsi="Times New Roman" w:cs="Times New Roman"/>
          <w:b w:val="0"/>
          <w:kern w:val="2"/>
          <w:sz w:val="28"/>
          <w:szCs w:val="28"/>
          <w:lang w:eastAsia="hi-IN" w:bidi="hi-IN"/>
        </w:rPr>
        <w:t>Большеалабухского</w:t>
      </w:r>
      <w:proofErr w:type="spellEnd"/>
      <w:r w:rsidRPr="006E5010">
        <w:rPr>
          <w:rFonts w:ascii="Times New Roman" w:eastAsia="SimSun" w:hAnsi="Times New Roman" w:cs="Times New Roman"/>
          <w:b w:val="0"/>
          <w:kern w:val="2"/>
          <w:sz w:val="28"/>
          <w:szCs w:val="28"/>
          <w:lang w:eastAsia="hi-IN" w:bidi="hi-IN"/>
        </w:rPr>
        <w:t xml:space="preserve">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
    <w:p w:rsidR="00EB73E6" w:rsidRPr="00395D5B" w:rsidRDefault="006E5010"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от 31.08.2018 г. № 34</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001973C2" w:rsidRPr="001973C2">
        <w:rPr>
          <w:rFonts w:ascii="Times New Roman" w:hAnsi="Times New Roman" w:cs="Times New Roman"/>
          <w:b w:val="0"/>
          <w:sz w:val="28"/>
          <w:szCs w:val="28"/>
        </w:rPr>
        <w:t>Большеалабухского</w:t>
      </w:r>
      <w:proofErr w:type="spellEnd"/>
      <w:r w:rsidR="001973C2" w:rsidRPr="001973C2">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1973C2"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14.04.2023 г. № 16</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Pr="001973C2">
        <w:rPr>
          <w:rFonts w:ascii="Times New Roman" w:hAnsi="Times New Roman" w:cs="Times New Roman"/>
          <w:b w:val="0"/>
          <w:sz w:val="28"/>
          <w:szCs w:val="28"/>
        </w:rPr>
        <w:t>Большеалабухского</w:t>
      </w:r>
      <w:proofErr w:type="spellEnd"/>
      <w:r w:rsidRPr="001973C2">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proofErr w:type="spellStart"/>
      <w:r w:rsidRPr="001973C2">
        <w:rPr>
          <w:rFonts w:ascii="Times New Roman" w:hAnsi="Times New Roman" w:cs="Times New Roman"/>
          <w:b w:val="0"/>
          <w:sz w:val="28"/>
          <w:szCs w:val="28"/>
        </w:rPr>
        <w:t>Большеалабухского</w:t>
      </w:r>
      <w:proofErr w:type="spellEnd"/>
      <w:r w:rsidRPr="001973C2">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09.11.</w:t>
      </w:r>
      <w:r w:rsidR="00EB73E6" w:rsidRPr="00395D5B">
        <w:rPr>
          <w:rFonts w:ascii="Times New Roman" w:hAnsi="Times New Roman" w:cs="Times New Roman"/>
          <w:b w:val="0"/>
          <w:sz w:val="28"/>
          <w:szCs w:val="28"/>
        </w:rPr>
        <w:t xml:space="preserve">2015 № </w:t>
      </w:r>
      <w:r>
        <w:rPr>
          <w:rFonts w:ascii="Times New Roman" w:hAnsi="Times New Roman" w:cs="Times New Roman"/>
          <w:b w:val="0"/>
          <w:sz w:val="28"/>
          <w:szCs w:val="28"/>
        </w:rPr>
        <w:t>73</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Pr="00395D5B">
        <w:rPr>
          <w:rFonts w:ascii="Times New Roman" w:hAnsi="Times New Roman"/>
          <w:sz w:val="28"/>
          <w:szCs w:val="28"/>
        </w:rPr>
        <w:t xml:space="preserve">сельского поселения и размещения на официальном сайте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Pr="00395D5B">
        <w:rPr>
          <w:rFonts w:ascii="Times New Roman" w:hAnsi="Times New Roman"/>
          <w:sz w:val="28"/>
          <w:szCs w:val="28"/>
        </w:rPr>
        <w:t xml:space="preserve">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1973C2" w:rsidP="00395D5B">
            <w:pPr>
              <w:ind w:firstLine="709"/>
              <w:rPr>
                <w:rFonts w:ascii="Times New Roman" w:hAnsi="Times New Roman"/>
                <w:sz w:val="28"/>
                <w:szCs w:val="28"/>
                <w:lang w:eastAsia="en-US"/>
              </w:rPr>
            </w:pPr>
            <w:r>
              <w:rPr>
                <w:rFonts w:ascii="Times New Roman" w:hAnsi="Times New Roman"/>
                <w:sz w:val="28"/>
                <w:szCs w:val="28"/>
                <w:lang w:eastAsia="en-US"/>
              </w:rPr>
              <w:t>В.В. Сорокина</w:t>
            </w:r>
            <w:r w:rsidR="00630ABF" w:rsidRPr="00395D5B">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1973C2" w:rsidP="00395D5B">
      <w:pPr>
        <w:ind w:firstLine="709"/>
        <w:jc w:val="right"/>
        <w:rPr>
          <w:rFonts w:ascii="Times New Roman" w:hAnsi="Times New Roman"/>
          <w:sz w:val="28"/>
          <w:szCs w:val="28"/>
        </w:rPr>
      </w:pPr>
      <w:proofErr w:type="spellStart"/>
      <w:r w:rsidRPr="001973C2">
        <w:rPr>
          <w:rFonts w:ascii="Times New Roman" w:hAnsi="Times New Roman"/>
          <w:sz w:val="28"/>
          <w:szCs w:val="28"/>
        </w:rPr>
        <w:t>Большеалабухского</w:t>
      </w:r>
      <w:proofErr w:type="spellEnd"/>
      <w:r w:rsidRPr="001973C2">
        <w:rPr>
          <w:rFonts w:ascii="Times New Roman" w:hAnsi="Times New Roman"/>
          <w:sz w:val="28"/>
          <w:szCs w:val="28"/>
        </w:rPr>
        <w:t xml:space="preserve"> </w:t>
      </w:r>
      <w:r w:rsidR="00630ABF" w:rsidRPr="00395D5B">
        <w:rPr>
          <w:rFonts w:ascii="Times New Roman" w:hAnsi="Times New Roman"/>
          <w:sz w:val="28"/>
          <w:szCs w:val="28"/>
        </w:rPr>
        <w:t xml:space="preserve">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proofErr w:type="spellStart"/>
      <w:r w:rsidR="001973C2" w:rsidRPr="001973C2">
        <w:rPr>
          <w:i w:val="0"/>
          <w:sz w:val="28"/>
          <w:szCs w:val="28"/>
        </w:rPr>
        <w:t>Большеалабухского</w:t>
      </w:r>
      <w:proofErr w:type="spellEnd"/>
      <w:r w:rsidR="001973C2" w:rsidRPr="001973C2">
        <w:rPr>
          <w:i w:val="0"/>
          <w:sz w:val="28"/>
          <w:szCs w:val="28"/>
        </w:rPr>
        <w:t xml:space="preserve">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00890DDD" w:rsidRPr="00395D5B">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00890DDD" w:rsidRPr="00395D5B">
        <w:rPr>
          <w:rFonts w:ascii="Times New Roman" w:hAnsi="Times New Roman"/>
          <w:sz w:val="28"/>
          <w:szCs w:val="28"/>
        </w:rPr>
        <w:t>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001973C2">
        <w:rPr>
          <w:rFonts w:ascii="Times New Roman" w:hAnsi="Times New Roman"/>
          <w:spacing w:val="7"/>
          <w:sz w:val="28"/>
          <w:szCs w:val="28"/>
        </w:rPr>
        <w:t>(http://</w:t>
      </w:r>
      <w:proofErr w:type="spellStart"/>
      <w:r w:rsidR="001973C2">
        <w:rPr>
          <w:rFonts w:ascii="Times New Roman" w:hAnsi="Times New Roman"/>
          <w:spacing w:val="7"/>
          <w:sz w:val="28"/>
          <w:szCs w:val="28"/>
          <w:lang w:val="en-US"/>
        </w:rPr>
        <w:t>bigalabuh</w:t>
      </w:r>
      <w:proofErr w:type="spellEnd"/>
      <w:r w:rsidR="001973C2" w:rsidRPr="001973C2">
        <w:rPr>
          <w:rFonts w:ascii="Times New Roman" w:hAnsi="Times New Roman"/>
          <w:spacing w:val="7"/>
          <w:sz w:val="28"/>
          <w:szCs w:val="28"/>
        </w:rPr>
        <w:t>-</w:t>
      </w:r>
      <w:proofErr w:type="spellStart"/>
      <w:r w:rsidR="001973C2">
        <w:rPr>
          <w:rFonts w:ascii="Times New Roman" w:hAnsi="Times New Roman"/>
          <w:spacing w:val="7"/>
          <w:sz w:val="28"/>
          <w:szCs w:val="28"/>
          <w:lang w:val="en-US"/>
        </w:rPr>
        <w:t>grib</w:t>
      </w:r>
      <w:proofErr w:type="spellEnd"/>
      <w:r w:rsidR="001973C2" w:rsidRPr="001973C2">
        <w:rPr>
          <w:rFonts w:ascii="Times New Roman" w:hAnsi="Times New Roman"/>
          <w:spacing w:val="7"/>
          <w:sz w:val="28"/>
          <w:szCs w:val="28"/>
        </w:rPr>
        <w:t>.</w:t>
      </w:r>
      <w:proofErr w:type="spellStart"/>
      <w:r w:rsidR="001973C2">
        <w:rPr>
          <w:rFonts w:ascii="Times New Roman" w:hAnsi="Times New Roman"/>
          <w:spacing w:val="7"/>
          <w:sz w:val="28"/>
          <w:szCs w:val="28"/>
          <w:lang w:val="en-US"/>
        </w:rPr>
        <w:t>ru</w:t>
      </w:r>
      <w:proofErr w:type="spellEnd"/>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proofErr w:type="gram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proofErr w:type="spellStart"/>
      <w:r w:rsidR="001973C2" w:rsidRPr="001973C2">
        <w:rPr>
          <w:rFonts w:ascii="Times New Roman" w:hAnsi="Times New Roman"/>
          <w:sz w:val="28"/>
          <w:szCs w:val="28"/>
        </w:rPr>
        <w:t>Большеалабухского</w:t>
      </w:r>
      <w:proofErr w:type="spellEnd"/>
      <w:r w:rsidR="001973C2" w:rsidRPr="001973C2">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1973C2"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1973C2">
        <w:rPr>
          <w:rFonts w:ascii="Times New Roman" w:hAnsi="Times New Roman"/>
          <w:sz w:val="28"/>
          <w:szCs w:val="28"/>
        </w:rPr>
        <w:t>у http://</w:t>
      </w:r>
      <w:proofErr w:type="spellStart"/>
      <w:r w:rsidR="001973C2">
        <w:rPr>
          <w:rFonts w:ascii="Times New Roman" w:hAnsi="Times New Roman"/>
          <w:sz w:val="28"/>
          <w:szCs w:val="28"/>
          <w:lang w:val="en-US"/>
        </w:rPr>
        <w:t>bigalabuh</w:t>
      </w:r>
      <w:proofErr w:type="spellEnd"/>
      <w:r w:rsidR="001973C2" w:rsidRPr="001973C2">
        <w:rPr>
          <w:rFonts w:ascii="Times New Roman" w:hAnsi="Times New Roman"/>
          <w:sz w:val="28"/>
          <w:szCs w:val="28"/>
        </w:rPr>
        <w:t>-</w:t>
      </w:r>
      <w:proofErr w:type="spellStart"/>
      <w:r w:rsidR="001973C2">
        <w:rPr>
          <w:rFonts w:ascii="Times New Roman" w:hAnsi="Times New Roman"/>
          <w:sz w:val="28"/>
          <w:szCs w:val="28"/>
          <w:lang w:val="en-US"/>
        </w:rPr>
        <w:t>grib</w:t>
      </w:r>
      <w:proofErr w:type="spellEnd"/>
      <w:r w:rsidR="001973C2" w:rsidRPr="001973C2">
        <w:rPr>
          <w:rFonts w:ascii="Times New Roman" w:hAnsi="Times New Roman"/>
          <w:sz w:val="28"/>
          <w:szCs w:val="28"/>
        </w:rPr>
        <w:t>.</w:t>
      </w:r>
      <w:proofErr w:type="spellStart"/>
      <w:r w:rsidR="001973C2">
        <w:rPr>
          <w:rFonts w:ascii="Times New Roman" w:hAnsi="Times New Roman"/>
          <w:sz w:val="28"/>
          <w:szCs w:val="28"/>
          <w:lang w:val="en-US"/>
        </w:rPr>
        <w:t>ru</w:t>
      </w:r>
      <w:proofErr w:type="spellEnd"/>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proofErr w:type="spellStart"/>
      <w:r w:rsidR="00555702" w:rsidRPr="00555702">
        <w:rPr>
          <w:rFonts w:ascii="Times New Roman" w:hAnsi="Times New Roman"/>
          <w:sz w:val="28"/>
          <w:szCs w:val="28"/>
        </w:rPr>
        <w:t>Большеалабухского</w:t>
      </w:r>
      <w:proofErr w:type="spellEnd"/>
      <w:r w:rsidR="00555702" w:rsidRPr="00555702">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proofErr w:type="spellStart"/>
      <w:r w:rsidR="00555702" w:rsidRPr="00555702">
        <w:rPr>
          <w:rFonts w:ascii="Times New Roman" w:hAnsi="Times New Roman"/>
          <w:sz w:val="28"/>
          <w:szCs w:val="28"/>
        </w:rPr>
        <w:t>Большеалабухского</w:t>
      </w:r>
      <w:proofErr w:type="spellEnd"/>
      <w:r w:rsidR="00555702" w:rsidRPr="00555702">
        <w:rPr>
          <w:rFonts w:ascii="Times New Roman" w:hAnsi="Times New Roman"/>
          <w:sz w:val="28"/>
          <w:szCs w:val="28"/>
        </w:rPr>
        <w:t xml:space="preserve"> </w:t>
      </w:r>
      <w:r w:rsidR="00DF6E46" w:rsidRPr="00395D5B">
        <w:rPr>
          <w:rFonts w:ascii="Times New Roman" w:hAnsi="Times New Roman"/>
          <w:sz w:val="28"/>
          <w:szCs w:val="28"/>
        </w:rPr>
        <w:t xml:space="preserve">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proofErr w:type="spellStart"/>
      <w:r w:rsidR="00555702" w:rsidRPr="00555702">
        <w:rPr>
          <w:rFonts w:ascii="Times New Roman" w:hAnsi="Times New Roman"/>
          <w:sz w:val="28"/>
          <w:szCs w:val="28"/>
        </w:rPr>
        <w:t>Большеалабухского</w:t>
      </w:r>
      <w:proofErr w:type="spellEnd"/>
      <w:r w:rsidR="00555702" w:rsidRPr="00555702">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55702" w:rsidRPr="00555702">
        <w:rPr>
          <w:rFonts w:ascii="Times New Roman" w:hAnsi="Times New Roman"/>
          <w:sz w:val="28"/>
          <w:szCs w:val="28"/>
        </w:rPr>
        <w:t>Большеалабухского</w:t>
      </w:r>
      <w:proofErr w:type="spellEnd"/>
      <w:r w:rsidR="00555702" w:rsidRPr="00555702">
        <w:rPr>
          <w:rFonts w:ascii="Times New Roman" w:hAnsi="Times New Roman"/>
          <w:sz w:val="28"/>
          <w:szCs w:val="28"/>
        </w:rPr>
        <w:t xml:space="preserve"> </w:t>
      </w:r>
      <w:r w:rsidR="00395D5B"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555702" w:rsidRPr="00555702">
        <w:rPr>
          <w:sz w:val="28"/>
          <w:szCs w:val="28"/>
        </w:rPr>
        <w:t>Большеалабухского</w:t>
      </w:r>
      <w:proofErr w:type="spellEnd"/>
      <w:r w:rsidR="00555702" w:rsidRPr="00555702">
        <w:rPr>
          <w:sz w:val="28"/>
          <w:szCs w:val="28"/>
        </w:rPr>
        <w:t xml:space="preserve"> </w:t>
      </w:r>
      <w:r w:rsidR="00395D5B" w:rsidRPr="00395D5B">
        <w:rPr>
          <w:sz w:val="28"/>
          <w:szCs w:val="28"/>
        </w:rPr>
        <w:t xml:space="preserve">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w:t>
            </w:r>
            <w:r w:rsidR="00555702">
              <w:rPr>
                <w:rFonts w:ascii="Times New Roman" w:eastAsiaTheme="minorHAnsi" w:hAnsi="Times New Roman"/>
                <w:sz w:val="28"/>
                <w:szCs w:val="28"/>
                <w:lang w:eastAsia="en-US"/>
              </w:rPr>
              <w:t>___________________</w:t>
            </w:r>
            <w:r w:rsidRPr="00395D5B">
              <w:rPr>
                <w:rFonts w:ascii="Times New Roman" w:eastAsiaTheme="minorHAnsi" w:hAnsi="Times New Roman"/>
                <w:sz w:val="28"/>
                <w:szCs w:val="28"/>
                <w:lang w:eastAsia="en-US"/>
              </w:rPr>
              <w:t>:</w:t>
            </w:r>
          </w:p>
          <w:p w:rsidR="001C72B8" w:rsidRPr="00555702"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w:t>
            </w:r>
            <w:r w:rsidR="00555702">
              <w:rPr>
                <w:rFonts w:ascii="Times New Roman" w:eastAsiaTheme="minorHAnsi" w:hAnsi="Times New Roman"/>
                <w:sz w:val="28"/>
                <w:szCs w:val="28"/>
                <w:lang w:eastAsia="en-US"/>
              </w:rPr>
              <w:t xml:space="preserve">я территории от _______ N </w:t>
            </w:r>
          </w:p>
          <w:p w:rsidR="001C72B8" w:rsidRPr="00555702"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w:t>
            </w:r>
            <w:r w:rsidR="00555702">
              <w:rPr>
                <w:rFonts w:ascii="Times New Roman" w:eastAsiaTheme="minorHAnsi" w:hAnsi="Times New Roman"/>
                <w:sz w:val="28"/>
                <w:szCs w:val="28"/>
                <w:lang w:eastAsia="en-US"/>
              </w:rPr>
              <w:t xml:space="preserve">стка без проведения торгов </w:t>
            </w:r>
          </w:p>
          <w:p w:rsidR="001C72B8" w:rsidRPr="00555702" w:rsidRDefault="001C72B8" w:rsidP="00395D5B">
            <w:pPr>
              <w:autoSpaceDE w:val="0"/>
              <w:autoSpaceDN w:val="0"/>
              <w:adjustRightInd w:val="0"/>
              <w:ind w:firstLine="709"/>
              <w:rPr>
                <w:rFonts w:ascii="Times New Roman" w:eastAsiaTheme="minorHAnsi" w:hAnsi="Times New Roman"/>
                <w:sz w:val="28"/>
                <w:szCs w:val="28"/>
                <w:lang w:val="en-US" w:eastAsia="en-US"/>
              </w:rPr>
            </w:pPr>
            <w:r w:rsidRPr="00395D5B">
              <w:rPr>
                <w:rFonts w:ascii="Times New Roman" w:eastAsiaTheme="minorHAnsi" w:hAnsi="Times New Roman"/>
                <w:sz w:val="28"/>
                <w:szCs w:val="28"/>
                <w:lang w:eastAsia="en-US"/>
              </w:rPr>
              <w:t>___________________________________________</w:t>
            </w:r>
            <w:r w:rsidR="00555702">
              <w:rPr>
                <w:rFonts w:ascii="Times New Roman" w:eastAsiaTheme="minorHAnsi" w:hAnsi="Times New Roman"/>
                <w:sz w:val="28"/>
                <w:szCs w:val="28"/>
                <w:lang w:eastAsia="en-US"/>
              </w:rPr>
              <w:t>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555702"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w:t>
            </w:r>
            <w:r w:rsidR="00555702">
              <w:rPr>
                <w:rFonts w:ascii="Times New Roman" w:eastAsiaTheme="minorHAnsi" w:hAnsi="Times New Roman"/>
                <w:sz w:val="28"/>
                <w:szCs w:val="28"/>
                <w:lang w:eastAsia="en-US"/>
              </w:rPr>
              <w:t>______________________</w:t>
            </w:r>
          </w:p>
          <w:p w:rsidR="001C72B8" w:rsidRPr="00555702"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w:t>
            </w:r>
            <w:r w:rsidR="00555702">
              <w:rPr>
                <w:rFonts w:ascii="Times New Roman" w:eastAsiaTheme="minorHAnsi" w:hAnsi="Times New Roman"/>
                <w:sz w:val="28"/>
                <w:szCs w:val="28"/>
                <w:lang w:eastAsia="en-US"/>
              </w:rPr>
              <w:t>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555702" w:rsidRDefault="001C72B8" w:rsidP="00395D5B">
            <w:pPr>
              <w:autoSpaceDE w:val="0"/>
              <w:autoSpaceDN w:val="0"/>
              <w:adjustRightInd w:val="0"/>
              <w:ind w:firstLine="709"/>
              <w:rPr>
                <w:rFonts w:ascii="Times New Roman" w:eastAsiaTheme="minorHAnsi" w:hAnsi="Times New Roman"/>
                <w:sz w:val="28"/>
                <w:szCs w:val="28"/>
                <w:lang w:val="en-US" w:eastAsia="en-US"/>
              </w:rPr>
            </w:pPr>
            <w:r w:rsidRPr="00395D5B">
              <w:rPr>
                <w:rFonts w:ascii="Times New Roman" w:eastAsiaTheme="minorHAnsi" w:hAnsi="Times New Roman"/>
                <w:sz w:val="28"/>
                <w:szCs w:val="28"/>
                <w:lang w:eastAsia="en-US"/>
              </w:rPr>
              <w:t>___________________________________________</w:t>
            </w:r>
            <w:r w:rsidR="00555702">
              <w:rPr>
                <w:rFonts w:ascii="Times New Roman" w:eastAsiaTheme="minorHAnsi" w:hAnsi="Times New Roman"/>
                <w:sz w:val="28"/>
                <w:szCs w:val="28"/>
                <w:lang w:eastAsia="en-US"/>
              </w:rPr>
              <w:t>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DB0965" w:rsidRPr="00555702" w:rsidRDefault="00DB0965" w:rsidP="00555702">
      <w:pPr>
        <w:spacing w:after="200" w:line="276" w:lineRule="auto"/>
        <w:ind w:firstLine="0"/>
        <w:jc w:val="right"/>
        <w:rPr>
          <w:rFonts w:ascii="Times New Roman" w:eastAsiaTheme="minorEastAsia" w:hAnsi="Times New Roman"/>
          <w:sz w:val="28"/>
          <w:szCs w:val="28"/>
        </w:rPr>
      </w:pPr>
      <w:r w:rsidRPr="00395D5B">
        <w:rPr>
          <w:rFonts w:ascii="Times New Roman" w:hAnsi="Times New Roman"/>
          <w:sz w:val="28"/>
          <w:szCs w:val="28"/>
        </w:rPr>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9" w:name="P1552"/>
            <w:bookmarkEnd w:id="9"/>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DB0965" w:rsidRPr="00555702" w:rsidRDefault="00DB0965" w:rsidP="00555702">
      <w:pPr>
        <w:spacing w:after="200" w:line="276" w:lineRule="auto"/>
        <w:ind w:firstLine="0"/>
        <w:jc w:val="right"/>
        <w:rPr>
          <w:rFonts w:ascii="Times New Roman" w:eastAsiaTheme="minorEastAsia" w:hAnsi="Times New Roman"/>
          <w:sz w:val="28"/>
          <w:szCs w:val="28"/>
        </w:rPr>
      </w:pPr>
      <w:r w:rsidRPr="00395D5B">
        <w:rPr>
          <w:rFonts w:ascii="Times New Roman" w:hAnsi="Times New Roman"/>
          <w:sz w:val="28"/>
          <w:szCs w:val="28"/>
        </w:rPr>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605"/>
            <w:bookmarkEnd w:id="10"/>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555702" w:rsidP="00395D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w:t>
            </w:r>
            <w:bookmarkStart w:id="11" w:name="_GoBack"/>
            <w:bookmarkEnd w:id="11"/>
            <w:r w:rsidR="00DB0965" w:rsidRPr="00395D5B">
              <w:rPr>
                <w:rFonts w:ascii="Times New Roman" w:hAnsi="Times New Roman" w:cs="Times New Roman"/>
                <w:sz w:val="28"/>
                <w:szCs w:val="28"/>
              </w:rPr>
              <w:t>)</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5B" w:rsidRDefault="00BC065B" w:rsidP="009476CE">
      <w:r>
        <w:separator/>
      </w:r>
    </w:p>
  </w:endnote>
  <w:endnote w:type="continuationSeparator" w:id="0">
    <w:p w:rsidR="00BC065B" w:rsidRDefault="00BC065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6E5010" w:rsidRDefault="006E5010">
        <w:pPr>
          <w:pStyle w:val="ab"/>
          <w:jc w:val="center"/>
        </w:pPr>
        <w:r>
          <w:fldChar w:fldCharType="begin"/>
        </w:r>
        <w:r>
          <w:instrText>PAGE   \* MERGEFORMAT</w:instrText>
        </w:r>
        <w:r>
          <w:fldChar w:fldCharType="separate"/>
        </w:r>
        <w:r w:rsidR="00555702">
          <w:rPr>
            <w:noProof/>
          </w:rPr>
          <w:t>64</w:t>
        </w:r>
        <w:r>
          <w:rPr>
            <w:noProof/>
          </w:rPr>
          <w:fldChar w:fldCharType="end"/>
        </w:r>
      </w:p>
    </w:sdtContent>
  </w:sdt>
  <w:p w:rsidR="006E5010" w:rsidRDefault="006E501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6E5010" w:rsidRDefault="006E5010">
        <w:pPr>
          <w:pStyle w:val="ab"/>
          <w:jc w:val="center"/>
        </w:pPr>
        <w:r>
          <w:fldChar w:fldCharType="begin"/>
        </w:r>
        <w:r>
          <w:instrText>PAGE   \* MERGEFORMAT</w:instrText>
        </w:r>
        <w:r>
          <w:fldChar w:fldCharType="separate"/>
        </w:r>
        <w:r w:rsidR="001973C2">
          <w:rPr>
            <w:noProof/>
          </w:rPr>
          <w:t>1</w:t>
        </w:r>
        <w:r>
          <w:rPr>
            <w:noProof/>
          </w:rPr>
          <w:fldChar w:fldCharType="end"/>
        </w:r>
      </w:p>
    </w:sdtContent>
  </w:sdt>
  <w:p w:rsidR="006E5010" w:rsidRDefault="006E50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5B" w:rsidRDefault="00BC065B" w:rsidP="009476CE">
      <w:r>
        <w:separator/>
      </w:r>
    </w:p>
  </w:footnote>
  <w:footnote w:type="continuationSeparator" w:id="0">
    <w:p w:rsidR="00BC065B" w:rsidRDefault="00BC065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6E5010" w:rsidRDefault="006E5010">
        <w:pPr>
          <w:pStyle w:val="a9"/>
          <w:jc w:val="center"/>
        </w:pPr>
        <w:r>
          <w:fldChar w:fldCharType="begin"/>
        </w:r>
        <w:r>
          <w:instrText>PAGE   \* MERGEFORMAT</w:instrText>
        </w:r>
        <w:r>
          <w:fldChar w:fldCharType="separate"/>
        </w:r>
        <w:r w:rsidR="00555702">
          <w:rPr>
            <w:noProof/>
          </w:rPr>
          <w:t>64</w:t>
        </w:r>
        <w:r>
          <w:rPr>
            <w:noProof/>
          </w:rPr>
          <w:fldChar w:fldCharType="end"/>
        </w:r>
      </w:p>
    </w:sdtContent>
  </w:sdt>
  <w:p w:rsidR="006E5010" w:rsidRDefault="006E50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3C2"/>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55702"/>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5010"/>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065B"/>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A249-F888-4FF8-924F-6118A078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22649</Words>
  <Characters>129103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42</cp:revision>
  <cp:lastPrinted>2023-07-19T09:14:00Z</cp:lastPrinted>
  <dcterms:created xsi:type="dcterms:W3CDTF">2023-05-02T11:36:00Z</dcterms:created>
  <dcterms:modified xsi:type="dcterms:W3CDTF">2023-09-10T07:41:00Z</dcterms:modified>
</cp:coreProperties>
</file>