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274" w:rsidRPr="007C2274" w:rsidRDefault="007C2274" w:rsidP="007C227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C2274">
        <w:rPr>
          <w:rFonts w:ascii="Times New Roman" w:eastAsia="Times New Roman" w:hAnsi="Times New Roman" w:cs="Times New Roman"/>
          <w:b/>
          <w:bCs/>
          <w:kern w:val="36"/>
          <w:sz w:val="48"/>
          <w:szCs w:val="48"/>
          <w:lang w:eastAsia="ru-RU"/>
        </w:rPr>
        <w:t>По профилактике коррупционных правонарушений, методические рекомендации</w:t>
      </w:r>
    </w:p>
    <w:p w:rsidR="007C2274" w:rsidRPr="007C2274" w:rsidRDefault="007C2274" w:rsidP="007C2274">
      <w:pPr>
        <w:spacing w:after="0" w:line="240" w:lineRule="auto"/>
        <w:rPr>
          <w:rFonts w:ascii="Times New Roman" w:eastAsia="Times New Roman" w:hAnsi="Times New Roman" w:cs="Times New Roman"/>
          <w:sz w:val="24"/>
          <w:szCs w:val="24"/>
          <w:lang w:eastAsia="ru-RU"/>
        </w:rPr>
      </w:pPr>
      <w:r w:rsidRPr="007C2274">
        <w:rPr>
          <w:rFonts w:ascii="Times New Roman" w:eastAsia="Times New Roman" w:hAnsi="Times New Roman" w:cs="Times New Roman"/>
          <w:sz w:val="24"/>
          <w:szCs w:val="24"/>
          <w:lang w:eastAsia="ru-RU"/>
        </w:rPr>
        <w:t xml:space="preserv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2018 ГОДУ (ЗА ОТЧЕТНЫЙ 2017 ГОД) 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В соответствии с пунктом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 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 I. Представление сведений о доходах, расходах, об имуществе и обязательствах имущественного характера 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Лица, обязанные представлять сведения о доходах, расходах, об имуществе и обязательствах имущественного характера 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 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 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 4) лицами, замещающими </w:t>
      </w:r>
      <w:r w:rsidRPr="007C2274">
        <w:rPr>
          <w:rFonts w:ascii="Times New Roman" w:eastAsia="Times New Roman" w:hAnsi="Times New Roman" w:cs="Times New Roman"/>
          <w:sz w:val="24"/>
          <w:szCs w:val="24"/>
          <w:lang w:eastAsia="ru-RU"/>
        </w:rPr>
        <w:lastRenderedPageBreak/>
        <w:t xml:space="preserve">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 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 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 2. Сведения о доходах, об имуществе и обязательствах имущественного характера представляются гражданином, претендующим на замещение (далее - гражданин): 1) государственной должности Российской Федерации, государственной должности субъекта Российской Федерации, муниципальной должности; 2) любой должности государственной службы (поступающим на службу); 3) должности муниципальной службы, включенной в перечни, утвержденные нормативными правовыми актами Российской Федерации; 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 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 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 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Обязательность представления сведений 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 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w:t>
      </w:r>
      <w:r w:rsidRPr="007C2274">
        <w:rPr>
          <w:rFonts w:ascii="Times New Roman" w:eastAsia="Times New Roman" w:hAnsi="Times New Roman" w:cs="Times New Roman"/>
          <w:sz w:val="24"/>
          <w:szCs w:val="24"/>
          <w:lang w:eastAsia="ru-RU"/>
        </w:rPr>
        <w:lastRenderedPageBreak/>
        <w:t xml:space="preserve">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 Сроки представления сведений 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7. Служащие (работники) представляют сведения ежегодно в следующие сроки: 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 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 8. Сведения могут быть представлены служащим (работником) в любое время, начиная с 1 января года, следующего за отчетным. 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 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 Лица, в отношении которых представляются сведения 11. Сведения представляются отдельно: 1) в отношении служащего (работника), 2) в отношении его супруги (супруга), 3) в отношении каждого несовершеннолетнего ребенка служащего (работника). 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12. Отчетный период и отчетная дата представления сведений, установленные для граждан и служащих (работников), различны: 1) гражданин представляет: 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 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 2) служащий (работник) представляет ежегодно: 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 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w:t>
      </w:r>
      <w:r w:rsidRPr="007C2274">
        <w:rPr>
          <w:rFonts w:ascii="Times New Roman" w:eastAsia="Times New Roman" w:hAnsi="Times New Roman" w:cs="Times New Roman"/>
          <w:sz w:val="24"/>
          <w:szCs w:val="24"/>
          <w:lang w:eastAsia="ru-RU"/>
        </w:rPr>
        <w:lastRenderedPageBreak/>
        <w:t xml:space="preserve">представления сведений); 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 Замещение конкретной должности на отчетную дату как основание для представления сведений 13. Служащий (работник) должен представить сведения, если по состоянию на 31 декабря отчетного года: 1) замещаемая им должность была включена в соответствующий перечень должностей, а сам служащий (работник) замещал указанную должность; 2) временно замещаемая им должность была включена в соответствующий перечень должностей. 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 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 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Определение круга лиц (членов семьи), в отношении которых необходимо представить сведения 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 Супруги 18.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19.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 Перечень ситуаций и рекомендуемые действия (таблица N 1): Пример: служащий (работник) представляет сведения в 2018 году (за отчетный 2017 г.) Брак заключен в органах записи актов гражданского состояния (далее - ЗАГС) в ноябре 2017 года сведения в отношении супруги (супруга) представляются, поскольку по состоянию на отчетную дату (31 декабря 2017 года) служащий (работник) состоял в браке Брак заключен в ЗАГСе в марте 2018 года сведения в отношении супруги (супруга) не представляются, поскольку по состоянию на отчетную дату (31 декабря 2017 года) служащий (работник) не состоял в браке 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 Брак заключен 1 февраля 2018 года сведения в отношении супруги представляются, поскольку по состоянию на отчетную дату (1 </w:t>
      </w:r>
      <w:r w:rsidRPr="007C2274">
        <w:rPr>
          <w:rFonts w:ascii="Times New Roman" w:eastAsia="Times New Roman" w:hAnsi="Times New Roman" w:cs="Times New Roman"/>
          <w:sz w:val="24"/>
          <w:szCs w:val="24"/>
          <w:lang w:eastAsia="ru-RU"/>
        </w:rPr>
        <w:lastRenderedPageBreak/>
        <w:t xml:space="preserve">августа 2018 года) гражданин состоял в браке Брак заключен 2 августа 2018 года сведения в отношении супруги не представляются, поскольку по состоянию на отчетную дату (1 августа 2018 года) гражданин еще не вступил в брак 20.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Перечень ситуаций и рекомендуемые действия (таблица N 2) Пример: служащий (работник) представляет сведения в 2018 году (за отчетный 2017 г.) Брак был расторгнут в ЗАГСе в ноябре 2017 года сведения в отношении бывшей супруги не представляются, поскольку по состоянию на отчетную дату (31 декабря 2017 года) служащий (работник) не состоял в браке Окончательное решение о расторжении брака было принято судом 12 декабря 2017 года и вступило в законную силу 12 января 2018 года 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 Брак был расторгнут в ЗАГСе в марте 2018 года сведения в отношении бывшей супруги представляются поскольку по состоянию на отчетную дату (31 декабря 2017 года) служащий (работник) состоял в браке 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 Брак был расторгнут в ЗАГСе 1 июля 2018 года сведения в отношении бывшей супруги не представляются, поскольку по состоянию на отчетную дату (1 августа 2018 года) гражданин не состоял в браке Брак был расторгнут в ЗАГСе 2 августа 2018 года сведения в отношении бывшей супруги представляются, поскольку по состоянию на отчетную дату (1 августа 2018 года) гражданин состоял в браке Окончательное решение о расторжении брака было принято судом 4 июля 2018 года и вступило в законную силу 4 августа 2018 г. 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 Несовершеннолетние дети 22.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 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Перечень ситуаций и рекомендуемые действия (таблица N 3): Пример: служащий (работник) представляет сведения в 2018 году (за отчетный 2017 г.) Дочери служащего (работника) 21 мая 2017 года исполнилось 18 лет 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 Дочери служащего (работника) 30 декабря 2017 года исполнилось 18 лет 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 Дочери служащего (работника) 31 декабря 2017 года исполнилось 18 лет 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w:t>
      </w:r>
      <w:r w:rsidRPr="007C2274">
        <w:rPr>
          <w:rFonts w:ascii="Times New Roman" w:eastAsia="Times New Roman" w:hAnsi="Times New Roman" w:cs="Times New Roman"/>
          <w:sz w:val="24"/>
          <w:szCs w:val="24"/>
          <w:lang w:eastAsia="ru-RU"/>
        </w:rPr>
        <w:lastRenderedPageBreak/>
        <w:t xml:space="preserve">несовершеннолетней Пример: гражданин представляет в сентябре 2017 года сведения в связи с назначением на должность. Отчетной датой является 1 августа 2017 года Сыну гражданина 5 мая 2017 года исполнилось 18 лет 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 Сыну гражданина 1 августа 2017 года исполнилось 18 лет 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 Сыну гражданина 17 августа 2017 года исполнилось 18 лет сведения в отношении сына представляются, поскольку по состоянию на отчетную дату (1 августа 2017 года) сын гражданина являлся несовершеннолетним 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могут быть представлены служащим (работником). 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 Рекомендуемые действия при невозможности представить сведения в отношении члена семьи 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27. Заявление должно быть направлено до истечения срока, установленного для представления служащим (работником) сведений. Заявление подается (таблица N 4): В Управление Президента Российской Федерации по вопросам противодействия коррупции 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 В Департамент государственной службы и кадров Правительства Российской Федерации лицами, </w:t>
      </w:r>
      <w:r w:rsidRPr="007C2274">
        <w:rPr>
          <w:rFonts w:ascii="Times New Roman" w:eastAsia="Times New Roman" w:hAnsi="Times New Roman" w:cs="Times New Roman"/>
          <w:sz w:val="24"/>
          <w:szCs w:val="24"/>
          <w:lang w:eastAsia="ru-RU"/>
        </w:rPr>
        <w:lastRenderedPageBreak/>
        <w:t xml:space="preserve">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 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 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 В подразделение по профилактике коррупционных и иных правонарушений Центрального банка Российской Федерации лицами, занимающими должности, включенные в перечень, утвержденный Советом директоров Центрального банка Российской Федерации 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 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 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 II. Заполнение справки о доходах, расходах, об имуществе и обязательствах имущественного характера 30. 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 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N 460. Не рекомендуется заполнять справку в рукописном виде. 32. Для отдельных категорий служащих (работников) и должностных лиц подпунктами "в" и "г" пункта 26 Указа Президента Российской Федерации от 2 апреля 2013 г. N 309 "О мерах по реализации </w:t>
      </w:r>
      <w:r w:rsidRPr="007C2274">
        <w:rPr>
          <w:rFonts w:ascii="Times New Roman" w:eastAsia="Times New Roman" w:hAnsi="Times New Roman" w:cs="Times New Roman"/>
          <w:sz w:val="24"/>
          <w:szCs w:val="24"/>
          <w:lang w:eastAsia="ru-RU"/>
        </w:rPr>
        <w:lastRenderedPageBreak/>
        <w:t xml:space="preserve">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 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 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 ТИТУЛЬНЫЙ ЛИСТ 35. При заполнении титульного листа справки рекомендуется обратить внимание на следующее: 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 2) дата рождения (год рождения) указывается в соответствии с записью в документе, удостоверяющем личность; 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 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 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 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 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 При заполнении справки лицом, замещающим муниципальную должность на непостоянной основе, указывается муниципальная должность; 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Для справок, заполняемых с использованием СПО "Справки БК", рекомендуется указывать страховой номер индивидуального лицевого </w:t>
      </w:r>
      <w:r w:rsidRPr="007C2274">
        <w:rPr>
          <w:rFonts w:ascii="Times New Roman" w:eastAsia="Times New Roman" w:hAnsi="Times New Roman" w:cs="Times New Roman"/>
          <w:sz w:val="24"/>
          <w:szCs w:val="24"/>
          <w:lang w:eastAsia="ru-RU"/>
        </w:rPr>
        <w:lastRenderedPageBreak/>
        <w:t xml:space="preserve">счета (СНИЛС). РАЗДЕЛ 1. СВЕДЕНИЯ О ДОХОДАХ 36. 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 Доход по основному месту работы 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 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 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 Особенности заполнения данного раздела отдельными категориями лиц 39. Представление сведений в отношении лица, зарегистрированного в качестве индивидуального предпринимателя, применяющего специальные налоговые режимы: 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 2) при применении упрощенной системы налогообложения (УСН): 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 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 40. При заполнении данного раздела лицом, замещающим муниципальную должность на непостоянной основе, указывается доход по основному месту работы. 41.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 Доход от педагогической и научной деятельности 42. 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 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 Доход от иной творческой деятельности 44. В данной строке указывается сумма доходов, полученных в </w:t>
      </w:r>
      <w:r w:rsidRPr="007C2274">
        <w:rPr>
          <w:rFonts w:ascii="Times New Roman" w:eastAsia="Times New Roman" w:hAnsi="Times New Roman" w:cs="Times New Roman"/>
          <w:sz w:val="24"/>
          <w:szCs w:val="24"/>
          <w:lang w:eastAsia="ru-RU"/>
        </w:rPr>
        <w:lastRenderedPageBreak/>
        <w:t xml:space="preserve">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 45.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 Доход от вкладов в банках и иных кредитных организациях 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 47.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 48. Доход, полученный в иностранной валюте, указывается в рублях по курсу Банка России на дату получения дохода. 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 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51. Не рекомендуется проводить какие-либо самостоятельные расчеты, поскольку вероятно возникновение различного рода ошибок. 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 53. 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 Доход от ценных бумаг и долей участия в коммерческих организациях 54.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 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 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 Иные доходы 55. В данной строке указываются доходы, которые не были отражены в строках 1 - 5 справки. Так, например, в строке иные доходы могут быть указаны: 1) пенсия (при этом разные виды пенсий (по возрасту и пенсия военнослужащего) не следует суммировать); 2) доплаты к пенсиям, выплачиваемые в </w:t>
      </w:r>
      <w:r w:rsidRPr="007C2274">
        <w:rPr>
          <w:rFonts w:ascii="Times New Roman" w:eastAsia="Times New Roman" w:hAnsi="Times New Roman" w:cs="Times New Roman"/>
          <w:sz w:val="24"/>
          <w:szCs w:val="24"/>
          <w:lang w:eastAsia="ru-RU"/>
        </w:rPr>
        <w:lastRenderedPageBreak/>
        <w:t xml:space="preserve">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форме 2-НДФЛ, выдаваемую по месту службы (работы); 4) государственный сертификат на материнский (семейный) капитал (в случае если в отчетном периоде данный сертификат либо его часть был реализован); 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 6) стипендия; 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 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 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 11)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 12) вознаграждения по гражданско-правовым договорам, если данный доход не указан в строке 2 настоящего раздела справки. При этом рекомендуется указать наименование и юридический адрес организации, от которой был получен доход; 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 14) проценты по долговым обязательствам; 15) денежные средства, полученные в порядке дарения или наследования; 16) возмещение вреда, причиненного увечьем или иным повреждением здоровья; 17) выплаты, связанные с </w:t>
      </w:r>
      <w:r w:rsidRPr="007C2274">
        <w:rPr>
          <w:rFonts w:ascii="Times New Roman" w:eastAsia="Times New Roman" w:hAnsi="Times New Roman" w:cs="Times New Roman"/>
          <w:sz w:val="24"/>
          <w:szCs w:val="24"/>
          <w:lang w:eastAsia="ru-RU"/>
        </w:rPr>
        <w:lastRenderedPageBreak/>
        <w:t xml:space="preserve">гибелью (смертью), выплаченные наследникам; 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 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 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 23) выигрыши в лотереях, тотализаторах, конкурсах и иных играх; 24) доходы членов профсоюзных организаций, полученные от данных профсоюзных организаций; 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 26) вознаграждение, полученное при осуществлении опеки или попечительства на возмездной основе; 27) 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 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 29) денежные средства в безналичной форме, поступившие в качестве оплаты услуг или товаров; 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 31) денежные средства, полученные от родственников (за исключением супруг (супругов) и несовершеннолетних детей) и третьих лиц на невозвратной основе; 32) доход, полученный по договорам переуступки прав требования на строящиеся объекты недвижимости; 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 34) выплаченная ликвидационная стоимость ценных бумаг при ликвидации коммерческой организации; 35) иные аналогичные выплаты. 56. Формой справки не предусмотрено указание товаров, услуг, полученных в натуральной форме, а также виртуальных валют. 57. С учетом целей антикоррупционного законодательства в строке 6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 1) со служебными командировками; 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 3) с компенсацией расходов, связанных с переездом в другую местность в случае ротации и (или) перевода в другой </w:t>
      </w:r>
      <w:r w:rsidRPr="007C2274">
        <w:rPr>
          <w:rFonts w:ascii="Times New Roman" w:eastAsia="Times New Roman" w:hAnsi="Times New Roman" w:cs="Times New Roman"/>
          <w:sz w:val="24"/>
          <w:szCs w:val="24"/>
          <w:lang w:eastAsia="ru-RU"/>
        </w:rPr>
        <w:lastRenderedPageBreak/>
        <w:t xml:space="preserve">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 4) с оплатой стоимости и (или) выдачи полагающегося натурального довольствия, а также выплатой денежных средств взамен этого довольствия; 5) с приобретением проездных документов для исполнения служебных (должностных) обязанностей; 6) с оплатой коммунальных и иных услуг, наймом жилого помещения; 7) с внесением родительской платы за посещение дошкольного образовательного учреждения; 8) с оформлением нотариальной доверенности, почтовыми расходами, расходами на оплату услуг представителя (возмещаются по решению суда); 9) с возмещением расходов на повышение профессионального уровня; 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 11) с переводом денежных средств между банковскими счетами супругов и несовершеннолетних детей; 12) с возвратом денежных средств по несостоявшемуся договору купли-продажи; 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 Также не указываются сведения о денежных средствах, полученных: 14) в виде социального, имущественного налогового вычета; 15) от продажи различного вида подарочных сертификатов (карт), выпущенных предприятиями торговли; 16)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 17)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 18) в качестве возврата налога на добавленную стоимость, уплаченного при совершении покупок за границей, по чекам Tax-free; 19) в качестве вознаграждения донорам за сданную кровь, ее компоненты (и иную помощь) при условии возмездной сдачи; 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разделе 6.2 справки. РАЗДЕЛ 2. СВЕДЕНИЯ О РАСХОДАХ 58. Данный раздел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 59. Граждане, поступающие на службу (работу), раздел "Сведения о расходах" не заполняют. 60. Заполнение данного раздела при отсутствии указанных в пункте 58 настоящих Методических рекомендаций оснований не является нарушением. 61.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62. Для цели реализации пункта 58 настоящих </w:t>
      </w:r>
      <w:r w:rsidRPr="007C2274">
        <w:rPr>
          <w:rFonts w:ascii="Times New Roman" w:eastAsia="Times New Roman" w:hAnsi="Times New Roman" w:cs="Times New Roman"/>
          <w:sz w:val="24"/>
          <w:szCs w:val="24"/>
          <w:lang w:eastAsia="ru-RU"/>
        </w:rPr>
        <w:lastRenderedPageBreak/>
        <w:t xml:space="preserve">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63.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 64. Данный раздел не заполняется в следующих случаях: 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N 230-ФЗ); 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 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 65. При заполнении графы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66.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 67.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 68.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 69. В графе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 70. Особенности заполнения </w:t>
      </w:r>
      <w:r w:rsidRPr="007C2274">
        <w:rPr>
          <w:rFonts w:ascii="Times New Roman" w:eastAsia="Times New Roman" w:hAnsi="Times New Roman" w:cs="Times New Roman"/>
          <w:sz w:val="24"/>
          <w:szCs w:val="24"/>
          <w:lang w:eastAsia="ru-RU"/>
        </w:rPr>
        <w:lastRenderedPageBreak/>
        <w:t xml:space="preserve">раздела "Сведения о расходах": 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При заключении в отчетном периоде нескольких договоров участия в долевом строительстве учитывается общая сумма, уплаченная по всем договорам. 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 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 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 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 РАЗДЕЛ 3. СВЕДЕНИЯ ОБ ИМУЩЕСТВЕ Подраздел 3.1. Недвижимое имущество 71.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 72. 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73. 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 74. Указанию также подлежит недвижимое имущество, </w:t>
      </w:r>
      <w:r w:rsidRPr="007C2274">
        <w:rPr>
          <w:rFonts w:ascii="Times New Roman" w:eastAsia="Times New Roman" w:hAnsi="Times New Roman" w:cs="Times New Roman"/>
          <w:sz w:val="24"/>
          <w:szCs w:val="24"/>
          <w:lang w:eastAsia="ru-RU"/>
        </w:rPr>
        <w:lastRenderedPageBreak/>
        <w:t>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 75.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 Заполнение графы "Вид и наименование имущества" 76.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 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 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77. В соответствии со статьей 2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 78.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 79.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80. При наличии в собственности жилого, дачного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 81. При заполнении пункта 3 "Квартиры" соответственно вносятся сведения о ней, например 2-комнатная квартира. 82. В строке 4 "Гаражи" указывается информация об организованных местах хранения автотранспорта - "гараж", "машино-</w:t>
      </w:r>
      <w:r w:rsidRPr="007C2274">
        <w:rPr>
          <w:rFonts w:ascii="Times New Roman" w:eastAsia="Times New Roman" w:hAnsi="Times New Roman" w:cs="Times New Roman"/>
          <w:sz w:val="24"/>
          <w:szCs w:val="24"/>
          <w:lang w:eastAsia="ru-RU"/>
        </w:rPr>
        <w:lastRenderedPageBreak/>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разделе 3.1 "Недвижимое имущество" или 6.1 "Объекты недвижимого имущества, находящиеся в пользовании". 83. В графе "Вид собственности" указывается вид собственности на имущество (индивидуальная, общая совместная, общая долевая). 84.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 85.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86. Местонахождение (адрес) недвижимого имущества указывается согласно правоустанавливающим документам. При этом указывается: 1) индекс; 2) субъект Российской Федерации; 3) район; 4) город иной населенный пункт (село, поселок и т.д.); 5) улица (проспект, переулок и т.д.); 6) номер дома (владения, участка), корпуса (строения), квартиры. 87. Если недвижимое имущество находится за рубежом, то указывается: 1) наименование государства; 2) населенный пункт (иная единица административно-территориального деления); 3) почтовый адрес. 88.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 89.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Основание приобретения и источники средств 90.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 91. В случае если право на недвижимое имущество возникло до вступления в силу Федерального закона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 92.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77:02:0014017:1994-72/004/2017-2, договор купли-продажи от 19 февраля 2017 г. и т.д. 93. Обязанность сообщать сведения об источнике средств, за счет которых приобретено имущество, находящееся за пределами территории Российской Федерации, </w:t>
      </w:r>
      <w:r w:rsidRPr="007C2274">
        <w:rPr>
          <w:rFonts w:ascii="Times New Roman" w:eastAsia="Times New Roman" w:hAnsi="Times New Roman" w:cs="Times New Roman"/>
          <w:sz w:val="24"/>
          <w:szCs w:val="24"/>
          <w:lang w:eastAsia="ru-RU"/>
        </w:rPr>
        <w:lastRenderedPageBreak/>
        <w:t xml:space="preserve">распространяется только на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1) на лиц, замещающих (занимающих):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 2) на супруг (супругов), несовершеннолетних детей лиц, указанных в абзацах втором - десятом подпункта 1 настоящего пункта; 3) иных лиц в случаях, предусмотренных федеральными законами. 94.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 Сведения о вышеуказанном источнике отображаются в справке ежегодно, вне зависимости от года приобретения имущества. Подраздел 3.2. Транспортные средства 95. 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 96.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w:t>
      </w:r>
      <w:r w:rsidRPr="007C2274">
        <w:rPr>
          <w:rFonts w:ascii="Times New Roman" w:eastAsia="Times New Roman" w:hAnsi="Times New Roman" w:cs="Times New Roman"/>
          <w:sz w:val="24"/>
          <w:szCs w:val="24"/>
          <w:lang w:eastAsia="ru-RU"/>
        </w:rPr>
        <w:lastRenderedPageBreak/>
        <w:t xml:space="preserve">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 97.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 98.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 99. Аналогичным подходом необходимо руководствоваться при указании в данном подразделе водного, воздушного транспорта. 100. В строке 7 "Иные транспортные средства" подлежат указанию прицепы, зарегистрированные в установленном порядке. РАЗДЕЛ 4. СВЕДЕНИЯ О СЧЕТАХ В БАНКАХ И ИНЫХ КРЕДИТНЫХ ОРГАНИЗАЦИЯХ 101. В данном разделе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 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 2) счета с нулевым остатком на 31 декабря отчетного года; 3) счета, открытые для погашения кредита; 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 5) счета (вклады) в иностранных банках, расположенных за пределами Российской Федерации; 6) счета, открываемые для осуществления деятельности на рынке ценных бумаг. 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N 79-ФЗ. 102. В графе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 103. В данном разделе сведения о счетах в банках и иных кредитных организациях, которые по состоянию на отчетную дату закрыты, не указываются. 104. Не подлежат указанию специальный избирательный счет, открытый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 депозитарный счет нотариуса. 105.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 106. 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w:t>
      </w:r>
      <w:r w:rsidRPr="007C2274">
        <w:rPr>
          <w:rFonts w:ascii="Times New Roman" w:eastAsia="Times New Roman" w:hAnsi="Times New Roman" w:cs="Times New Roman"/>
          <w:sz w:val="24"/>
          <w:szCs w:val="24"/>
          <w:lang w:eastAsia="ru-RU"/>
        </w:rPr>
        <w:lastRenderedPageBreak/>
        <w:t xml:space="preserve">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 107.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 108.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 109. 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 Кредитные карты, карты с овердрафтом 110.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111.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 112.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 113.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подразделе 6.2 справки. Вид и валюта счета 114. Виды банковских счетов определены Инструкцией Банка России от 30 мая 2014 г. N 153-И "Об открытии и закрытии банковских счетов, счетов по вкладам (депозитам), депозитных счетов". 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115. Согласно данной Инструкции физическим лицам открываются следующие виды счетов (таблица N 5): Текущие счета Открываются физическим лицам для совершения операций, не связанных с предпринимательской деятельностью или частной практикой Счета по вкладам (депозитам) 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Расчетные счета 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Счета доверительного управления Открываются доверительному управляющему для осуществления операций, связанных с деятельностью по доверительному управлению 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 </w:t>
      </w:r>
      <w:r w:rsidRPr="007C2274">
        <w:rPr>
          <w:rFonts w:ascii="Times New Roman" w:eastAsia="Times New Roman" w:hAnsi="Times New Roman" w:cs="Times New Roman"/>
          <w:sz w:val="24"/>
          <w:szCs w:val="24"/>
          <w:lang w:eastAsia="ru-RU"/>
        </w:rP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Депозитные счета судов, подразделений службы судебных приставов, правоохранительных органов, нотариусов 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116. Счета, открываемые депозитариями (как предназначенные, 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строке 5 "Доход от ценных бумаг и долей участия в коммерческих организациях" раздела 1 справки. 117.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двадцать четвертый пункта 2.1 части III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 118.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 119.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 При этом в данной графе следует сделать специальную пометку "Выписка от _______ N ____ прилагается на ___ л.". 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 120. Для счетов в иностранной валюте сумма указывается в рублях по курсу Банка России на отчетную дату. Ликвидация кредитной организации 121. Если по состоянию на отчетную дату владельцем счета заявление о закрытии счета конкурсному </w:t>
      </w:r>
      <w:r w:rsidRPr="007C2274">
        <w:rPr>
          <w:rFonts w:ascii="Times New Roman" w:eastAsia="Times New Roman" w:hAnsi="Times New Roman" w:cs="Times New Roman"/>
          <w:sz w:val="24"/>
          <w:szCs w:val="24"/>
          <w:lang w:eastAsia="ru-RU"/>
        </w:rPr>
        <w:lastRenderedPageBreak/>
        <w:t xml:space="preserve">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 122.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123. 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"Qiwi кошелек" и др. Отзыв лицензии у кредитной организации 124. 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4 статьи 859 Гражданского кодекса Российской Федерации) без всяких к тому ограничений. 125. Для закрытия счета в кредитной организации, у которой отозвана лицензия, необходимо направить заявление на имя представителя временной администрации. 126. До момента закрытия соответствующего счета, счет считается открытым и подлежит отражению в разделе 4 справки. РАЗДЕЛ 5. СВЕДЕНИЯ О ЦЕННЫХ БУМАГАХ 127. 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 Подраздел 5.1. Акции и иное участие в коммерческих организациях и фондах 128. В соответствии с Федеральным законом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129.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 В случае если служащий (работник) является учредителем организации, то данную информацию также необходимо отразить. 130.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 Если законодательством не предусмотрено формирование уставного капитала, то указывается "0 руб.". 131. Доля участия выражается в процентах от уставного капитала. Для акционерных обществ указываются также номинальная стоимость и количество акций. Подраздел 5.2. Иные ценные бумаги 132.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w:t>
      </w:r>
      <w:r w:rsidRPr="007C2274">
        <w:rPr>
          <w:rFonts w:ascii="Times New Roman" w:eastAsia="Times New Roman" w:hAnsi="Times New Roman" w:cs="Times New Roman"/>
          <w:sz w:val="24"/>
          <w:szCs w:val="24"/>
          <w:lang w:eastAsia="ru-RU"/>
        </w:rPr>
        <w:lastRenderedPageBreak/>
        <w:t xml:space="preserve">установленном законом порядке, а также ценные бумаги иностранных эмитентов. Государственный сертификат на материнский (семейный) капитал не является ценной бумагой и не подлежит указанию в подразделе 5.2 справки. 133. В подразделе 5.2 указываются все ценные бумаги по видам (облигации, векселя и другие), за исключением акций, указанных в подразделе 5.1. 134.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 РАЗДЕЛ 6. СВЕДЕНИЯ ОБ ОБЯЗАТЕЛЬСТВАХ ИМУЩЕСТВЕННОГО ХАРАКТЕРА Подраздел 6.1. Объекты недвижимого имущества, находящиеся в пользовании 135. 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136. При заполнении данного 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 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 137.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 138. В том числе указанию подлежат сведения о жилом помещении (дом, квартира, комната), нежилом помещении, земельном участке, гараже и т.д.: 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 2) где служащий (работник), члены его семьи фактически проживают без заключения договора аренды, безвозмездного пользования или социального найма; 3) занимаемых по договору аренды (найма, поднайма); 4) занимаемых по договорам социального найма; 5) объекты незавершенного строительства, используемые для бытовых нужд, но не зарегистрированные в установленном порядке органами Росреестра; 6) принадлежащем на праве пожизненного наследуемого владения земельным участком. 139. При этом указывается общая площадь объекта недвижимого имущества, находящегося в пользовании. 140. Сведения об объектах недвижимого имущества, находящихся в пользовании, указываются по состоянию на отчетную дату. 141. В графе "Вид имущества" указывается вид недвижимого имущества (земельный участок, жилой дом, дача, квартира, комната и др.). 142. В графе "Вид и сроки пользования" указываются вид пользования (аренда, безвозмездное пользование и др.) и сроки пользования. 143.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 144. В данном подразделе не указывается недвижимое имущество, которое находится в собственности и уже отражено в подразделе 3.1 справки. Также не подлежат </w:t>
      </w:r>
      <w:r w:rsidRPr="007C2274">
        <w:rPr>
          <w:rFonts w:ascii="Times New Roman" w:eastAsia="Times New Roman" w:hAnsi="Times New Roman" w:cs="Times New Roman"/>
          <w:sz w:val="24"/>
          <w:szCs w:val="24"/>
          <w:lang w:eastAsia="ru-RU"/>
        </w:rPr>
        <w:lastRenderedPageBreak/>
        <w:t xml:space="preserve">указанию земельные участки, расположенные под многоквартирными домами. 145.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 Подраздел 6.2. Срочные обязательства финансового характера 146. В данном подразделе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 147. В графе "Содержание обязательства" указывается существо обязательства (заем, кредит и другие). 148.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Например, 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 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 149. В графе "Основание возникновения" указываются основание возникновения обязательства, а также реквизиты (дата, номер) соответствующего договора или акта. 150. В графе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 151.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 152.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 153. Помимо прочего подлежат указанию: 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 2) договор финансовой аренды (лизинг); 3) договор займа; 4) договор финансирования под уступку денежного требования; 5) обязательства, связанные с заключением договора об уступке права требования; 6) обязательства вследствие причинения вреда (финансовые); 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 8) обязательства по уплате алиментов (если по состоянию на отчетную дату сумма невыплаченных алиментов равна или превышает 500 000 руб.); 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 10) иные обязательства, в том числе установленные решением суда. 154. Отдельные виды срочных обязательств финансового характера: 1) участие в долевом строительстве объекта недвижимости. До получения свидетельства о </w:t>
      </w:r>
      <w:r w:rsidRPr="007C2274">
        <w:rPr>
          <w:rFonts w:ascii="Times New Roman" w:eastAsia="Times New Roman" w:hAnsi="Times New Roman" w:cs="Times New Roman"/>
          <w:sz w:val="24"/>
          <w:szCs w:val="24"/>
          <w:lang w:eastAsia="ru-RU"/>
        </w:rPr>
        <w:lastRenderedPageBreak/>
        <w:t xml:space="preserve">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 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 2) обязательства по ипотеке в случае разделения суммы кредита между супругами. Согласно пунктам 4 и 5 статьи 9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 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 155. 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156.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 157. К безвозмездной сделке можно отнести договор дарения. 158. Каждый объект безвозмездной сделки указывается отдельно. 159.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86 - 87 настоящих Методических рекомендаций, площадь (кв. м) в соответствии с пунктом 88 настоящих Методических рекомендаций. 160. В строке "Транспортные средства" рекомендуется указывать вид, марку, модель транспортного средства, год изготовления, место регистрации. 161. В строке "Ценные бумаги" рекомендуется указывать вид ценной </w:t>
      </w:r>
      <w:r w:rsidRPr="007C2274">
        <w:rPr>
          <w:rFonts w:ascii="Times New Roman" w:eastAsia="Times New Roman" w:hAnsi="Times New Roman" w:cs="Times New Roman"/>
          <w:sz w:val="24"/>
          <w:szCs w:val="24"/>
          <w:lang w:eastAsia="ru-RU"/>
        </w:rPr>
        <w:lastRenderedPageBreak/>
        <w:t xml:space="preserve">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129 настоящих Методических рекомендаций, местонахождение организации (адрес), уставный капитал в соответствии с пунктом 130 настоящих Методических рекомендаций, доли участия в соответствии с пунктом 131 настоящих Методических рекомендаций. 162. В графе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 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 163. 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 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2018 ГОДУ (ЗА ОТЧЕТНЫЙ 2017 ГОД) 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направления их в заинтересованные государственные органы и организации, а также размещения на официальном сайте Минтруда России. Методические рекомендации для применения в ходе декларационной кампании 2018 года (за отчетный 2017 год) подготовлены Министерством при участии Администрации Президента Российской Федерации и Генеральной прокуратуры Российской Федерации. В ходе использования в работе Методических рекомендаций предлагаем обратить внимание на следующее. Указано на возможность представления сведений в отношении несовершеннолетнего ребенка в случае, если лицо, представляющее сведения, является опекуном (попечителем) или его супруга (супруг) является опекуном (попечителем), усыновителем такого несовершеннолетнего ребенка. В подпункте 1 пункта 35 Методических рекомендаций изменен подход заполнения титульного листа справки: фамилия, имя и отчество указываются в именительном падеже. Подпункт 3 пункта 35 Методических рекомендаций дополнен положениями при представлении сведений в отношении отдельных категорий лиц. Уточнен подход к определению понятия "доход" в рамках антикоррупционного законодательства Российской Федерации. Пункт 41 предусматривает определение понятия "доход" в отношении лица, являющегося нотариусом, занимающимся частной практикой. Также в пункте 53 указано, что 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Методические рекомендации дополнены случаями, при которых подлежит заполнению строка 6 "Иные доходы" раздела 1 справки, а также случаями, при которых отражение денежных средств в справке не требуется. Пунктом 62 Методических </w:t>
      </w:r>
      <w:r w:rsidRPr="007C2274">
        <w:rPr>
          <w:rFonts w:ascii="Times New Roman" w:eastAsia="Times New Roman" w:hAnsi="Times New Roman" w:cs="Times New Roman"/>
          <w:sz w:val="24"/>
          <w:szCs w:val="24"/>
          <w:lang w:eastAsia="ru-RU"/>
        </w:rPr>
        <w:lastRenderedPageBreak/>
        <w:t xml:space="preserve">рекомендаций предусмотрен порядок расчета общего дохода в целях представления сведений о расходах. Отдельно в пункте 85 Методических рекомендаций отмечено, что в рамках антикоррупционного законодательства совместным признается имущество, соответствующая информация о котором отражена в правоустанавливающих документах. Пунктом 102 предусмотрено, что в графе "Наименование и адрес банка или иной кредитной организации" раздела 4 справки рекомендуется указывать юридический адрес отделения банка или иной кредитной организации, в котором был открыт соответствующий счет. Отдельно в пункте 114 Методических рекомендаций отмечено, что вклады "Классический", "Выгодный", "Комфортный" и др., как правило, являются депозитными счетами. В пункте 116 Методических рекомендаций указан порядок отражения счетов, открываемых депозитариями. Пунктами 124 - 126 Методических рекомендаций предусмотрен порядок действий в случае отзыва лицензии у кредитной организации. В пункте 138 Методических рекомендаций уточнен порядок представления сведений об объектах незавершенного строительства, а также об имуществе, по адресу которого имеется регистрация. Пункт 143 Методических рекомендаций дополнен положениями, согласно которым рекомендуется указывать фамилию, имя и отчество лица, предоставившего объект недвижимого имущества в пользование. Положения Методических рекомендаций предусматривают порядок представления сведений о недвижимом имуществе, транспортных средствах и ценных бумагах, отчужденных в течение отчетного периода в результате безвозмездной сделки.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E94"/>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E1D"/>
    <w:rsid w:val="001D5FC4"/>
    <w:rsid w:val="001E4714"/>
    <w:rsid w:val="001F51EE"/>
    <w:rsid w:val="00201139"/>
    <w:rsid w:val="0025030C"/>
    <w:rsid w:val="00273956"/>
    <w:rsid w:val="002825F1"/>
    <w:rsid w:val="0029245D"/>
    <w:rsid w:val="002978BD"/>
    <w:rsid w:val="002A206B"/>
    <w:rsid w:val="002A487D"/>
    <w:rsid w:val="002B1022"/>
    <w:rsid w:val="002C1B57"/>
    <w:rsid w:val="002E02E6"/>
    <w:rsid w:val="002E33C1"/>
    <w:rsid w:val="002E3CF4"/>
    <w:rsid w:val="002F038C"/>
    <w:rsid w:val="002F0824"/>
    <w:rsid w:val="002F13CE"/>
    <w:rsid w:val="002F608D"/>
    <w:rsid w:val="00302870"/>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0789"/>
    <w:rsid w:val="005E0A6F"/>
    <w:rsid w:val="005E792B"/>
    <w:rsid w:val="005F08B6"/>
    <w:rsid w:val="005F2246"/>
    <w:rsid w:val="006374A1"/>
    <w:rsid w:val="00655236"/>
    <w:rsid w:val="00661B06"/>
    <w:rsid w:val="00674493"/>
    <w:rsid w:val="00683128"/>
    <w:rsid w:val="00686C4E"/>
    <w:rsid w:val="006943A1"/>
    <w:rsid w:val="0069760A"/>
    <w:rsid w:val="006A58EF"/>
    <w:rsid w:val="006C7691"/>
    <w:rsid w:val="006C7E0A"/>
    <w:rsid w:val="006E03F4"/>
    <w:rsid w:val="006E42A9"/>
    <w:rsid w:val="006E4B0F"/>
    <w:rsid w:val="006E5131"/>
    <w:rsid w:val="007020B7"/>
    <w:rsid w:val="007037AD"/>
    <w:rsid w:val="00711BCE"/>
    <w:rsid w:val="00726DD1"/>
    <w:rsid w:val="00740156"/>
    <w:rsid w:val="00742935"/>
    <w:rsid w:val="00745AE5"/>
    <w:rsid w:val="007460B8"/>
    <w:rsid w:val="00751445"/>
    <w:rsid w:val="0075345E"/>
    <w:rsid w:val="007637B7"/>
    <w:rsid w:val="007810A0"/>
    <w:rsid w:val="00783164"/>
    <w:rsid w:val="007A7FAA"/>
    <w:rsid w:val="007C1C4C"/>
    <w:rsid w:val="007C2274"/>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74711"/>
    <w:rsid w:val="00980FBA"/>
    <w:rsid w:val="00983E94"/>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819F9"/>
    <w:rsid w:val="00A83095"/>
    <w:rsid w:val="00A9548D"/>
    <w:rsid w:val="00A9736D"/>
    <w:rsid w:val="00AA0B50"/>
    <w:rsid w:val="00AA2457"/>
    <w:rsid w:val="00AB09CE"/>
    <w:rsid w:val="00AB30AC"/>
    <w:rsid w:val="00AB64E1"/>
    <w:rsid w:val="00AC2D95"/>
    <w:rsid w:val="00AC4462"/>
    <w:rsid w:val="00AE1B28"/>
    <w:rsid w:val="00AF0974"/>
    <w:rsid w:val="00AF1714"/>
    <w:rsid w:val="00AF5E46"/>
    <w:rsid w:val="00B115FE"/>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EF7319"/>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22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2274"/>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22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227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0315">
      <w:bodyDiv w:val="1"/>
      <w:marLeft w:val="0"/>
      <w:marRight w:val="0"/>
      <w:marTop w:val="0"/>
      <w:marBottom w:val="0"/>
      <w:divBdr>
        <w:top w:val="none" w:sz="0" w:space="0" w:color="auto"/>
        <w:left w:val="none" w:sz="0" w:space="0" w:color="auto"/>
        <w:bottom w:val="none" w:sz="0" w:space="0" w:color="auto"/>
        <w:right w:val="none" w:sz="0" w:space="0" w:color="auto"/>
      </w:divBdr>
      <w:divsChild>
        <w:div w:id="767504227">
          <w:marLeft w:val="0"/>
          <w:marRight w:val="0"/>
          <w:marTop w:val="0"/>
          <w:marBottom w:val="0"/>
          <w:divBdr>
            <w:top w:val="none" w:sz="0" w:space="0" w:color="auto"/>
            <w:left w:val="none" w:sz="0" w:space="0" w:color="auto"/>
            <w:bottom w:val="none" w:sz="0" w:space="0" w:color="auto"/>
            <w:right w:val="none" w:sz="0" w:space="0" w:color="auto"/>
          </w:divBdr>
        </w:div>
        <w:div w:id="214133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16193</Words>
  <Characters>92304</Characters>
  <Application>Microsoft Office Word</Application>
  <DocSecurity>0</DocSecurity>
  <Lines>769</Lines>
  <Paragraphs>216</Paragraphs>
  <ScaleCrop>false</ScaleCrop>
  <Company>SPecialiST RePack</Company>
  <LinksUpToDate>false</LinksUpToDate>
  <CharactersWithSpaces>108281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2018-06-17T08:17:00Z</dcterms:created>
  <dcterms:modified xsi:type="dcterms:W3CDTF">2018-06-17T08:18:00Z</dcterms:modified>
</cp:coreProperties>
</file>